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76" w:rsidRDefault="002F7E76" w:rsidP="002F7E76">
      <w:pPr>
        <w:pStyle w:val="Heading2"/>
      </w:pPr>
      <w:r>
        <w:t>LTPAC Health IT Collaborative Meeting Summary</w:t>
      </w:r>
    </w:p>
    <w:p w:rsidR="002F7E76" w:rsidRDefault="002F7E76" w:rsidP="002F7E76">
      <w:pPr>
        <w:pStyle w:val="Heading3"/>
      </w:pPr>
      <w:r>
        <w:t>Friday, January 20, 2012</w:t>
      </w:r>
    </w:p>
    <w:p w:rsidR="002F7E76" w:rsidRDefault="002F7E76" w:rsidP="002F7E76">
      <w:pPr>
        <w:pStyle w:val="PlainText"/>
        <w:rPr>
          <w:rFonts w:ascii="Calibri" w:hAnsi="Calibri" w:cs="Calibri"/>
          <w:color w:val="1F497D" w:themeColor="dark2"/>
          <w:sz w:val="22"/>
          <w:szCs w:val="22"/>
        </w:rPr>
      </w:pPr>
    </w:p>
    <w:p w:rsidR="002F7E76" w:rsidRDefault="002F7E76" w:rsidP="002F7E76">
      <w:pPr>
        <w:pStyle w:val="PlainText"/>
        <w:rPr>
          <w:rFonts w:ascii="Calibri" w:hAnsi="Calibri" w:cs="Calibri"/>
          <w:sz w:val="22"/>
          <w:szCs w:val="22"/>
        </w:rPr>
      </w:pPr>
      <w:r>
        <w:rPr>
          <w:rFonts w:ascii="Calibri" w:hAnsi="Calibri" w:cs="Calibri"/>
          <w:color w:val="1F497D" w:themeColor="dark2"/>
          <w:sz w:val="22"/>
          <w:szCs w:val="22"/>
        </w:rPr>
        <w:t>Attended By:  Michelle, John, Annessa, Greg, Todd, Sue, Kory, Siobhan, Bill, Peter, Latoya</w:t>
      </w:r>
    </w:p>
    <w:p w:rsidR="002F7E76" w:rsidRDefault="002F7E76" w:rsidP="002F7E76">
      <w:pPr>
        <w:pStyle w:val="ListParagraph"/>
        <w:numPr>
          <w:ilvl w:val="0"/>
          <w:numId w:val="1"/>
        </w:numPr>
        <w:spacing w:before="100" w:beforeAutospacing="1" w:after="100" w:afterAutospacing="1"/>
      </w:pPr>
      <w:r>
        <w:t>Updates</w:t>
      </w:r>
    </w:p>
    <w:p w:rsidR="002F7E76" w:rsidRDefault="002F7E76" w:rsidP="002F7E76">
      <w:pPr>
        <w:pStyle w:val="ListParagraph"/>
        <w:numPr>
          <w:ilvl w:val="1"/>
          <w:numId w:val="1"/>
        </w:numPr>
        <w:spacing w:before="100" w:beforeAutospacing="1" w:after="100" w:afterAutospacing="1"/>
      </w:pPr>
      <w:r>
        <w:t>HIT Policy Committee</w:t>
      </w:r>
      <w:r>
        <w:rPr>
          <w:color w:val="1F497D" w:themeColor="dark2"/>
        </w:rPr>
        <w:br/>
      </w:r>
    </w:p>
    <w:p w:rsidR="002F7E76" w:rsidRDefault="002F7E76" w:rsidP="002F7E76">
      <w:pPr>
        <w:pStyle w:val="ListParagraph"/>
        <w:numPr>
          <w:ilvl w:val="1"/>
          <w:numId w:val="1"/>
        </w:numPr>
        <w:spacing w:before="100" w:beforeAutospacing="1" w:after="100" w:afterAutospacing="1"/>
      </w:pPr>
      <w:r>
        <w:t>HIT Standards Committee</w:t>
      </w:r>
      <w:r>
        <w:rPr>
          <w:color w:val="1F497D" w:themeColor="dark2"/>
        </w:rPr>
        <w:t xml:space="preserve"> – Standards Committee meets next Wednesday. The implementation subcommittee is working on stage 2 and 3.  The clinical quality workgroup is coming together again. John has asked Jim Walker to include LTPAC</w:t>
      </w:r>
      <w:r>
        <w:rPr>
          <w:color w:val="1F497D" w:themeColor="dark2"/>
        </w:rPr>
        <w:br/>
      </w:r>
    </w:p>
    <w:p w:rsidR="002F7E76" w:rsidRDefault="002F7E76" w:rsidP="002F7E76">
      <w:pPr>
        <w:pStyle w:val="ListParagraph"/>
        <w:numPr>
          <w:ilvl w:val="1"/>
          <w:numId w:val="1"/>
        </w:numPr>
        <w:spacing w:before="100" w:beforeAutospacing="1"/>
      </w:pPr>
      <w:r>
        <w:t>S&amp;I Framework</w:t>
      </w:r>
      <w:r>
        <w:rPr>
          <w:color w:val="1F497D" w:themeColor="dark2"/>
        </w:rPr>
        <w:t xml:space="preserve"> – All 3 workgroups are completing a gap analysis of the transition of care use case to rework to include LTPAC agenda items.</w:t>
      </w:r>
      <w:r>
        <w:rPr>
          <w:color w:val="1F497D" w:themeColor="dark2"/>
        </w:rPr>
        <w:br/>
      </w:r>
    </w:p>
    <w:p w:rsidR="002F7E76" w:rsidRDefault="002F7E76" w:rsidP="002F7E76">
      <w:pPr>
        <w:pStyle w:val="ListParagraph"/>
        <w:numPr>
          <w:ilvl w:val="1"/>
          <w:numId w:val="1"/>
        </w:numPr>
        <w:spacing w:before="100" w:beforeAutospacing="1" w:after="240"/>
        <w:rPr>
          <w:color w:val="1F497D" w:themeColor="dark2"/>
        </w:rPr>
      </w:pPr>
      <w:r>
        <w:t>ONC</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NQF – John’s term expires soon. He has a meeting in February.</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 xml:space="preserve">CCHIT – Commissioner meeting is coming up. They are discussing their products and markets for their certification processes. </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Academic Forum of AMIA:  Greg reported that this forum. They released a medical board specialty for informatics (limited to physicians).  The academic forum is looking at creating an inter-professional certification. One could be LTC.  The taskforce is looking at certification options.  There are many organizations offering certification that has varying requirements for completion across all disciplines.  Work from this initiative relates to our workforce roadmap area.</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NASL Winter meeting – February 6</w:t>
      </w:r>
      <w:r>
        <w:rPr>
          <w:color w:val="1F497D" w:themeColor="dark2"/>
          <w:vertAlign w:val="superscript"/>
        </w:rPr>
        <w:t xml:space="preserve"> </w:t>
      </w:r>
      <w:r>
        <w:rPr>
          <w:color w:val="1F497D" w:themeColor="dark2"/>
        </w:rPr>
        <w:t>– 8</w:t>
      </w:r>
      <w:r>
        <w:rPr>
          <w:color w:val="1F497D" w:themeColor="dark2"/>
          <w:vertAlign w:val="superscript"/>
        </w:rPr>
        <w:t>th</w:t>
      </w:r>
      <w:r>
        <w:rPr>
          <w:color w:val="1F497D" w:themeColor="dark2"/>
        </w:rPr>
        <w:t>, 2012</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NAHC/HCTAA’s – Strategic planning meeting – Feb 2 – 3, 2012</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ASCP – New executive has been named</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News Item – Geisinger’s project to engage LTC facilities and home care agencies in health information exchange using Federal assessment instruments</w:t>
      </w:r>
    </w:p>
    <w:p w:rsidR="002F7E76" w:rsidRDefault="002F7E76" w:rsidP="002F7E76">
      <w:pPr>
        <w:pStyle w:val="ListParagraph"/>
        <w:numPr>
          <w:ilvl w:val="1"/>
          <w:numId w:val="1"/>
        </w:numPr>
        <w:spacing w:before="100" w:beforeAutospacing="1" w:after="240"/>
        <w:rPr>
          <w:color w:val="1F497D" w:themeColor="dark2"/>
        </w:rPr>
      </w:pPr>
      <w:r>
        <w:rPr>
          <w:color w:val="1F497D" w:themeColor="dark2"/>
        </w:rPr>
        <w:t xml:space="preserve">Article in Journal of Geriatric Medicine – article about clinical decision support in 25 nursing homes (article came out in July 2011).  </w:t>
      </w:r>
    </w:p>
    <w:p w:rsidR="002F7E76" w:rsidRDefault="002F7E76" w:rsidP="002F7E76">
      <w:pPr>
        <w:pStyle w:val="ListParagraph"/>
        <w:numPr>
          <w:ilvl w:val="0"/>
          <w:numId w:val="1"/>
        </w:numPr>
        <w:spacing w:before="100" w:beforeAutospacing="1" w:after="100" w:afterAutospacing="1"/>
        <w:rPr>
          <w:lang/>
        </w:rPr>
      </w:pPr>
      <w:r>
        <w:t>Wrap up Draft of Roadmap Sections by 1/27</w:t>
      </w:r>
      <w:r>
        <w:rPr>
          <w:color w:val="1F497D" w:themeColor="dark2"/>
        </w:rPr>
        <w:br/>
        <w:t xml:space="preserve">Action: It is critical that people attend the workgroup meetings to finalize the roadmap items. The groups also should identify topics and speakers for the summit to advance the priorities. </w:t>
      </w:r>
    </w:p>
    <w:p w:rsidR="002F7E76" w:rsidRDefault="002F7E76" w:rsidP="002F7E76">
      <w:pPr>
        <w:pStyle w:val="ListParagraph"/>
        <w:numPr>
          <w:ilvl w:val="0"/>
          <w:numId w:val="2"/>
        </w:numPr>
        <w:spacing w:before="100" w:beforeAutospacing="1" w:after="100" w:afterAutospacing="1"/>
      </w:pPr>
      <w:r>
        <w:t>Wrap up plans for each section:</w:t>
      </w:r>
    </w:p>
    <w:p w:rsidR="002F7E76" w:rsidRDefault="002F7E76" w:rsidP="002F7E76">
      <w:pPr>
        <w:pStyle w:val="ListParagraph"/>
        <w:numPr>
          <w:ilvl w:val="1"/>
          <w:numId w:val="2"/>
        </w:numPr>
        <w:spacing w:before="100" w:beforeAutospacing="1" w:after="100" w:afterAutospacing="1"/>
      </w:pPr>
      <w:r>
        <w:lastRenderedPageBreak/>
        <w:t>Workforce Acceleration (Sue)</w:t>
      </w:r>
      <w:r>
        <w:rPr>
          <w:color w:val="1F497D" w:themeColor="dark2"/>
        </w:rPr>
        <w:br/>
        <w:t>Sue will schedule a meeting next week to wrap up the section and identify summit topics.</w:t>
      </w:r>
      <w:r>
        <w:rPr>
          <w:color w:val="1F497D" w:themeColor="dark2"/>
        </w:rPr>
        <w:br/>
      </w:r>
    </w:p>
    <w:p w:rsidR="002F7E76" w:rsidRDefault="002F7E76" w:rsidP="002F7E76">
      <w:pPr>
        <w:pStyle w:val="ListParagraph"/>
        <w:numPr>
          <w:ilvl w:val="1"/>
          <w:numId w:val="2"/>
        </w:numPr>
        <w:spacing w:before="100" w:beforeAutospacing="1" w:after="100" w:afterAutospacing="1"/>
      </w:pPr>
      <w:r>
        <w:t>Patient Activation and Engagement (Bill)</w:t>
      </w:r>
      <w:r>
        <w:rPr>
          <w:color w:val="1F497D" w:themeColor="dark2"/>
        </w:rPr>
        <w:br/>
        <w:t>Bill will review this weekend and update his group for feedback</w:t>
      </w:r>
      <w:r>
        <w:rPr>
          <w:color w:val="1F497D" w:themeColor="dark2"/>
        </w:rPr>
        <w:br/>
      </w:r>
    </w:p>
    <w:p w:rsidR="002F7E76" w:rsidRDefault="002F7E76" w:rsidP="002F7E76">
      <w:pPr>
        <w:pStyle w:val="ListParagraph"/>
        <w:numPr>
          <w:ilvl w:val="1"/>
          <w:numId w:val="2"/>
        </w:numPr>
        <w:spacing w:before="100" w:beforeAutospacing="1" w:after="100" w:afterAutospacing="1"/>
      </w:pPr>
      <w:r>
        <w:t>Quality &amp; Process Improvement (John)</w:t>
      </w:r>
      <w:r>
        <w:rPr>
          <w:color w:val="1F497D" w:themeColor="dark2"/>
        </w:rPr>
        <w:br/>
        <w:t xml:space="preserve">John updated based on feedback – the original version addressed measures and needed to include processes.  Each individual was going to add materials on processes.  John will follow up with group to get final feedback. </w:t>
      </w:r>
      <w:r>
        <w:rPr>
          <w:color w:val="1F497D" w:themeColor="dark2"/>
        </w:rPr>
        <w:br/>
      </w:r>
    </w:p>
    <w:p w:rsidR="002F7E76" w:rsidRDefault="002F7E76" w:rsidP="002F7E76">
      <w:pPr>
        <w:pStyle w:val="ListParagraph"/>
        <w:numPr>
          <w:ilvl w:val="1"/>
          <w:numId w:val="2"/>
        </w:numPr>
        <w:spacing w:before="100" w:beforeAutospacing="1" w:after="100" w:afterAutospacing="1"/>
      </w:pPr>
      <w:r>
        <w:t>Financial Performance (Larry)</w:t>
      </w:r>
      <w:r>
        <w:rPr>
          <w:color w:val="1F497D" w:themeColor="dark2"/>
        </w:rPr>
        <w:br/>
        <w:t>Michelle will check in with Larry.</w:t>
      </w:r>
      <w:r>
        <w:rPr>
          <w:color w:val="1F497D" w:themeColor="dark2"/>
        </w:rPr>
        <w:br/>
      </w:r>
    </w:p>
    <w:p w:rsidR="002F7E76" w:rsidRDefault="002F7E76" w:rsidP="002F7E76">
      <w:pPr>
        <w:pStyle w:val="ListParagraph"/>
        <w:numPr>
          <w:ilvl w:val="1"/>
          <w:numId w:val="2"/>
        </w:numPr>
        <w:spacing w:before="100" w:beforeAutospacing="1" w:after="100" w:afterAutospacing="1"/>
      </w:pPr>
      <w:r>
        <w:t>Care Coordination (Greg)</w:t>
      </w:r>
      <w:r>
        <w:rPr>
          <w:color w:val="1F497D" w:themeColor="dark2"/>
        </w:rPr>
        <w:br/>
        <w:t xml:space="preserve">Had a good discussion yesterday and completed the objectives.  The group meets again on Thursday for draft language for each section.  </w:t>
      </w:r>
      <w:r>
        <w:rPr>
          <w:color w:val="1F497D" w:themeColor="dark2"/>
        </w:rPr>
        <w:br/>
        <w:t>Summit agenda suggestion:</w:t>
      </w:r>
    </w:p>
    <w:p w:rsidR="002F7E76" w:rsidRDefault="002F7E76" w:rsidP="002F7E76">
      <w:pPr>
        <w:pStyle w:val="ListParagraph"/>
        <w:numPr>
          <w:ilvl w:val="0"/>
          <w:numId w:val="3"/>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To what extent are their EHRs to support care coordination</w:t>
      </w:r>
    </w:p>
    <w:p w:rsidR="002F7E76" w:rsidRDefault="002F7E76" w:rsidP="002F7E76">
      <w:pPr>
        <w:pStyle w:val="ListParagraph"/>
        <w:numPr>
          <w:ilvl w:val="0"/>
          <w:numId w:val="1"/>
        </w:numPr>
        <w:spacing w:before="100" w:beforeAutospacing="1" w:after="100" w:afterAutospacing="1"/>
      </w:pPr>
      <w:r>
        <w:t>Tracking process for LTPAC HIT Initiatives</w:t>
      </w:r>
    </w:p>
    <w:p w:rsidR="002F7E76" w:rsidRDefault="002F7E76" w:rsidP="002F7E76">
      <w:pPr>
        <w:pStyle w:val="ListParagraph"/>
        <w:numPr>
          <w:ilvl w:val="1"/>
          <w:numId w:val="1"/>
        </w:numPr>
        <w:spacing w:before="100" w:beforeAutospacing="1" w:after="100" w:afterAutospacing="1"/>
      </w:pPr>
      <w:r>
        <w:t>The Care Coordination workgroup discussed the need for/value of a tracking system for projects</w:t>
      </w:r>
      <w:r>
        <w:br/>
      </w:r>
    </w:p>
    <w:p w:rsidR="002F7E76" w:rsidRDefault="002F7E76" w:rsidP="002F7E76">
      <w:pPr>
        <w:pStyle w:val="ListParagraph"/>
        <w:numPr>
          <w:ilvl w:val="0"/>
          <w:numId w:val="1"/>
        </w:numPr>
        <w:spacing w:before="100" w:beforeAutospacing="1" w:after="100" w:afterAutospacing="1"/>
      </w:pPr>
      <w:r>
        <w:t>2012 Summit Planning</w:t>
      </w:r>
    </w:p>
    <w:p w:rsidR="002F7E76" w:rsidRDefault="002F7E76" w:rsidP="002F7E76">
      <w:pPr>
        <w:pStyle w:val="ListParagraph"/>
        <w:numPr>
          <w:ilvl w:val="1"/>
          <w:numId w:val="1"/>
        </w:numPr>
        <w:spacing w:before="100" w:beforeAutospacing="1" w:after="100" w:afterAutospacing="1"/>
      </w:pPr>
      <w:r>
        <w:t xml:space="preserve">Summit Marketing </w:t>
      </w:r>
    </w:p>
    <w:p w:rsidR="002F7E76" w:rsidRDefault="002F7E76" w:rsidP="002F7E76">
      <w:pPr>
        <w:pStyle w:val="ListParagraph"/>
        <w:numPr>
          <w:ilvl w:val="2"/>
          <w:numId w:val="1"/>
        </w:numPr>
        <w:spacing w:before="100" w:beforeAutospacing="1" w:after="100" w:afterAutospacing="1"/>
      </w:pPr>
      <w:r>
        <w:t>Flyer – PDF attached</w:t>
      </w:r>
      <w:r>
        <w:rPr>
          <w:color w:val="1F497D" w:themeColor="dark2"/>
        </w:rPr>
        <w:t xml:space="preserve"> – Feel free to distribute the flyer and use it for your communication, meetings and invitations</w:t>
      </w:r>
      <w:r>
        <w:rPr>
          <w:color w:val="1F497D" w:themeColor="dark2"/>
        </w:rPr>
        <w:br/>
      </w:r>
    </w:p>
    <w:p w:rsidR="002F7E76" w:rsidRDefault="002F7E76" w:rsidP="002F7E76">
      <w:pPr>
        <w:pStyle w:val="ListParagraph"/>
        <w:numPr>
          <w:ilvl w:val="2"/>
          <w:numId w:val="1"/>
        </w:numPr>
        <w:spacing w:before="100" w:beforeAutospacing="1" w:after="100" w:afterAutospacing="1"/>
      </w:pPr>
      <w:r>
        <w:t xml:space="preserve">Marketing Toolkit – </w:t>
      </w:r>
      <w:r>
        <w:rPr>
          <w:color w:val="1F497D" w:themeColor="dark2"/>
        </w:rPr>
        <w:t xml:space="preserve">This toolkit will be </w:t>
      </w:r>
      <w:r>
        <w:t>available after 1/31</w:t>
      </w:r>
      <w:r>
        <w:rPr>
          <w:color w:val="1F497D" w:themeColor="dark2"/>
        </w:rPr>
        <w:t xml:space="preserve"> for Co-sponsors and Strategic Partners</w:t>
      </w:r>
      <w:r>
        <w:rPr>
          <w:color w:val="1F497D" w:themeColor="dark2"/>
        </w:rPr>
        <w:br/>
      </w:r>
    </w:p>
    <w:p w:rsidR="002F7E76" w:rsidRDefault="002F7E76" w:rsidP="002F7E76">
      <w:pPr>
        <w:pStyle w:val="ListParagraph"/>
        <w:numPr>
          <w:ilvl w:val="2"/>
          <w:numId w:val="1"/>
        </w:numPr>
        <w:spacing w:before="100" w:beforeAutospacing="1" w:after="240"/>
      </w:pPr>
      <w:r>
        <w:t>Next e-mail – 1/31 announcing summit and participation in roadmap – can we get all collaborative members to distribute to their members?</w:t>
      </w:r>
    </w:p>
    <w:p w:rsidR="002F7E76" w:rsidRDefault="002F7E76" w:rsidP="002F7E76">
      <w:pPr>
        <w:spacing w:before="100" w:beforeAutospacing="1" w:after="240"/>
        <w:ind w:left="1440"/>
        <w:rPr>
          <w:rFonts w:asciiTheme="minorHAnsi" w:hAnsiTheme="minorHAnsi" w:cstheme="minorBidi"/>
          <w:color w:val="1F497D" w:themeColor="dark2"/>
        </w:rPr>
      </w:pPr>
      <w:r>
        <w:rPr>
          <w:rFonts w:asciiTheme="minorHAnsi" w:hAnsiTheme="minorHAnsi" w:cstheme="minorBidi"/>
          <w:color w:val="1F497D" w:themeColor="dark2"/>
        </w:rPr>
        <w:t xml:space="preserve">Note: Annessa is updating the LTPAC website with the summit information. </w:t>
      </w:r>
    </w:p>
    <w:p w:rsidR="002F7E76" w:rsidRDefault="002F7E76" w:rsidP="002F7E76">
      <w:pPr>
        <w:pStyle w:val="ListParagraph"/>
        <w:numPr>
          <w:ilvl w:val="1"/>
          <w:numId w:val="1"/>
        </w:numPr>
        <w:spacing w:before="100" w:beforeAutospacing="1" w:after="100" w:afterAutospacing="1"/>
      </w:pPr>
      <w:r>
        <w:t>Co-Sponsorship/Strategic Partners</w:t>
      </w:r>
    </w:p>
    <w:p w:rsidR="002F7E76" w:rsidRDefault="002F7E76" w:rsidP="002F7E76">
      <w:pPr>
        <w:pStyle w:val="ListParagraph"/>
        <w:numPr>
          <w:ilvl w:val="2"/>
          <w:numId w:val="1"/>
        </w:numPr>
        <w:spacing w:before="100" w:beforeAutospacing="1" w:after="100" w:afterAutospacing="1"/>
      </w:pPr>
      <w:r>
        <w:t>Agreements are being updated – no changes from last year</w:t>
      </w:r>
    </w:p>
    <w:p w:rsidR="002F7E76" w:rsidRDefault="002F7E76" w:rsidP="002F7E76">
      <w:pPr>
        <w:pStyle w:val="ListParagraph"/>
        <w:numPr>
          <w:ilvl w:val="2"/>
          <w:numId w:val="1"/>
        </w:numPr>
        <w:spacing w:before="100" w:beforeAutospacing="1" w:after="240"/>
      </w:pPr>
      <w:r>
        <w:t>You will receive a 2012 agreement from Pat Ebbers</w:t>
      </w:r>
    </w:p>
    <w:p w:rsidR="002F7E76" w:rsidRDefault="002F7E76" w:rsidP="002F7E76">
      <w:pPr>
        <w:spacing w:before="100" w:beforeAutospacing="1" w:after="240"/>
        <w:ind w:left="1440"/>
        <w:rPr>
          <w:rFonts w:asciiTheme="minorHAnsi" w:hAnsiTheme="minorHAnsi" w:cstheme="minorBidi"/>
          <w:color w:val="1F497D" w:themeColor="dark2"/>
        </w:rPr>
      </w:pPr>
      <w:r>
        <w:rPr>
          <w:rFonts w:asciiTheme="minorHAnsi" w:hAnsiTheme="minorHAnsi" w:cstheme="minorBidi"/>
          <w:color w:val="1F497D" w:themeColor="dark2"/>
        </w:rPr>
        <w:t>Note: Check with AMDA on their staffing and support for the collaborative and summit.</w:t>
      </w:r>
    </w:p>
    <w:p w:rsidR="002F7E76" w:rsidRDefault="002F7E76" w:rsidP="002F7E76">
      <w:pPr>
        <w:pStyle w:val="ListParagraph"/>
        <w:numPr>
          <w:ilvl w:val="1"/>
          <w:numId w:val="1"/>
        </w:numPr>
        <w:spacing w:before="100" w:beforeAutospacing="1" w:after="100" w:afterAutospacing="1"/>
      </w:pPr>
      <w:r>
        <w:t>Discuss summit agenda structure and content</w:t>
      </w:r>
    </w:p>
    <w:p w:rsidR="002F7E76" w:rsidRDefault="002F7E76" w:rsidP="002F7E76">
      <w:pPr>
        <w:pStyle w:val="ListParagraph"/>
        <w:numPr>
          <w:ilvl w:val="2"/>
          <w:numId w:val="1"/>
        </w:numPr>
        <w:spacing w:before="100" w:beforeAutospacing="1" w:after="100" w:afterAutospacing="1"/>
      </w:pPr>
      <w:r>
        <w:lastRenderedPageBreak/>
        <w:t>Look at feedback from 2011 (attached evaluation; see picture below from CIO Consortium)</w:t>
      </w:r>
    </w:p>
    <w:p w:rsidR="002F7E76" w:rsidRDefault="002F7E76" w:rsidP="002F7E76">
      <w:pPr>
        <w:spacing w:before="100" w:beforeAutospacing="1" w:after="100" w:afterAutospacing="1"/>
        <w:ind w:left="2160"/>
        <w:rPr>
          <w:rFonts w:asciiTheme="minorHAnsi" w:hAnsiTheme="minorHAnsi" w:cstheme="minorBidi"/>
          <w:color w:val="1F497D" w:themeColor="dark2"/>
        </w:rPr>
      </w:pPr>
      <w:r>
        <w:rPr>
          <w:rFonts w:asciiTheme="minorHAnsi" w:hAnsiTheme="minorHAnsi" w:cstheme="minorBidi"/>
          <w:color w:val="1F497D" w:themeColor="dark2"/>
        </w:rPr>
        <w:t xml:space="preserve">ACTION:  Michelle will reach out to Randy Kirk to get the CIO Consortium feedback </w:t>
      </w:r>
    </w:p>
    <w:p w:rsidR="002F7E76" w:rsidRDefault="002F7E76" w:rsidP="002F7E76">
      <w:pPr>
        <w:pStyle w:val="ListParagraph"/>
        <w:numPr>
          <w:ilvl w:val="2"/>
          <w:numId w:val="1"/>
        </w:numPr>
        <w:spacing w:before="100" w:beforeAutospacing="1" w:after="240"/>
      </w:pPr>
      <w:r>
        <w:t>With the focus on innovation and case studies, do we want to include more tracks and less general sessions?</w:t>
      </w:r>
    </w:p>
    <w:p w:rsidR="002F7E76" w:rsidRDefault="002F7E76" w:rsidP="002F7E76">
      <w:pPr>
        <w:pStyle w:val="ListParagraph"/>
        <w:numPr>
          <w:ilvl w:val="3"/>
          <w:numId w:val="1"/>
        </w:numPr>
        <w:spacing w:before="100" w:beforeAutospacing="1" w:after="240"/>
      </w:pPr>
      <w:r>
        <w:t xml:space="preserve">How should we integrate innovation sessions </w:t>
      </w:r>
    </w:p>
    <w:p w:rsidR="002F7E76" w:rsidRDefault="002F7E76" w:rsidP="002F7E76">
      <w:pPr>
        <w:spacing w:before="100" w:beforeAutospacing="1" w:after="240"/>
        <w:ind w:left="2160"/>
        <w:rPr>
          <w:rFonts w:asciiTheme="minorHAnsi" w:hAnsiTheme="minorHAnsi" w:cstheme="minorBidi"/>
          <w:color w:val="1F497D" w:themeColor="dark2"/>
        </w:rPr>
      </w:pPr>
      <w:r>
        <w:rPr>
          <w:rFonts w:asciiTheme="minorHAnsi" w:hAnsiTheme="minorHAnsi" w:cstheme="minorBidi"/>
          <w:color w:val="1F497D" w:themeColor="dark2"/>
        </w:rPr>
        <w:t xml:space="preserve">ACTION: After discussion, we decided to keep day 1 as all general sessions and the majority of day 2 as tracks with a wrap up session at the end.  We will keep the boardroom sessions – feedback is very positive on that.   </w:t>
      </w:r>
    </w:p>
    <w:p w:rsidR="002F7E76" w:rsidRDefault="002F7E76" w:rsidP="002F7E76">
      <w:pPr>
        <w:pStyle w:val="ListParagraph"/>
        <w:numPr>
          <w:ilvl w:val="2"/>
          <w:numId w:val="1"/>
        </w:numPr>
        <w:spacing w:before="100" w:beforeAutospacing="1" w:after="240"/>
      </w:pPr>
      <w:r>
        <w:t>How can we improve vendor and Interoperability Showcase options based on CIO feedback</w:t>
      </w:r>
    </w:p>
    <w:p w:rsidR="002F7E76" w:rsidRDefault="002F7E76" w:rsidP="002F7E76">
      <w:pPr>
        <w:spacing w:before="100" w:beforeAutospacing="1" w:after="240"/>
        <w:ind w:left="2160"/>
        <w:rPr>
          <w:rFonts w:asciiTheme="minorHAnsi" w:hAnsiTheme="minorHAnsi" w:cstheme="minorBidi"/>
          <w:color w:val="1F497D" w:themeColor="dark2"/>
        </w:rPr>
      </w:pPr>
      <w:r>
        <w:rPr>
          <w:rFonts w:asciiTheme="minorHAnsi" w:hAnsiTheme="minorHAnsi" w:cstheme="minorBidi"/>
          <w:color w:val="1F497D" w:themeColor="dark2"/>
        </w:rPr>
        <w:t>Discuss more indepth next week</w:t>
      </w:r>
    </w:p>
    <w:p w:rsidR="002F7E76" w:rsidRDefault="002F7E76" w:rsidP="002F7E76">
      <w:pPr>
        <w:pStyle w:val="ListParagraph"/>
        <w:numPr>
          <w:ilvl w:val="2"/>
          <w:numId w:val="1"/>
        </w:numPr>
        <w:spacing w:before="100" w:beforeAutospacing="1" w:after="240"/>
      </w:pPr>
      <w:r>
        <w:t xml:space="preserve">Tracks – can we assign a track session to each roadmap area, theme, </w:t>
      </w:r>
    </w:p>
    <w:p w:rsidR="002F7E76" w:rsidRDefault="002F7E76" w:rsidP="002F7E76">
      <w:pPr>
        <w:spacing w:before="100" w:beforeAutospacing="1" w:after="240"/>
        <w:ind w:left="2160"/>
        <w:rPr>
          <w:rFonts w:asciiTheme="minorHAnsi" w:hAnsiTheme="minorHAnsi" w:cstheme="minorBidi"/>
          <w:color w:val="1F497D" w:themeColor="dark2"/>
        </w:rPr>
      </w:pPr>
      <w:r>
        <w:rPr>
          <w:rFonts w:asciiTheme="minorHAnsi" w:hAnsiTheme="minorHAnsi" w:cstheme="minorBidi"/>
          <w:color w:val="1F497D" w:themeColor="dark2"/>
        </w:rPr>
        <w:t>To do next week</w:t>
      </w:r>
    </w:p>
    <w:p w:rsidR="002F7E76" w:rsidRDefault="002F7E76" w:rsidP="002F7E76">
      <w:pPr>
        <w:pStyle w:val="ListParagraph"/>
        <w:numPr>
          <w:ilvl w:val="1"/>
          <w:numId w:val="1"/>
        </w:numPr>
        <w:spacing w:before="100" w:beforeAutospacing="1" w:after="100" w:afterAutospacing="1"/>
      </w:pPr>
      <w:r>
        <w:t>Notes from past meetings:  Key Themes, Keynote, Partners</w:t>
      </w:r>
    </w:p>
    <w:p w:rsidR="002F7E76" w:rsidRDefault="002F7E76" w:rsidP="002F7E76">
      <w:pPr>
        <w:pStyle w:val="ListParagraph"/>
        <w:numPr>
          <w:ilvl w:val="2"/>
          <w:numId w:val="1"/>
        </w:numPr>
        <w:spacing w:before="100" w:beforeAutospacing="1" w:after="100" w:afterAutospacing="1"/>
      </w:pPr>
      <w:r>
        <w:t xml:space="preserve">Themes we identified last week:              </w:t>
      </w:r>
    </w:p>
    <w:p w:rsidR="002F7E76" w:rsidRDefault="002F7E76" w:rsidP="002F7E76">
      <w:pPr>
        <w:spacing w:before="100" w:beforeAutospacing="1" w:after="100" w:afterAutospacing="1"/>
        <w:ind w:left="2160"/>
      </w:pPr>
      <w:r>
        <w:t>Focus on innovations, programs, results, clinical outcomes, building on success, IT enabled (community-based care, connected communities of care, collaborative care).  3 Overarching Focus:  1) how technology is enabling new forms of coordination/transitions of care; 2) how technology is supporting the business case/processes for new care delivery and payment models;  3) how are people leveraging technology to support new means of care delivery.</w:t>
      </w:r>
    </w:p>
    <w:p w:rsidR="002F7E76" w:rsidRDefault="002F7E76" w:rsidP="002F7E76">
      <w:pPr>
        <w:pStyle w:val="ListParagraph"/>
        <w:numPr>
          <w:ilvl w:val="1"/>
          <w:numId w:val="1"/>
        </w:numPr>
        <w:spacing w:before="100" w:beforeAutospacing="1" w:after="100" w:afterAutospacing="1"/>
      </w:pPr>
      <w:r>
        <w:t>Content Planning Option – leverage roadmap teams to identify speakers</w:t>
      </w:r>
    </w:p>
    <w:p w:rsidR="002F7E76" w:rsidRDefault="002F7E76" w:rsidP="002F7E76">
      <w:pPr>
        <w:pStyle w:val="ListParagraph"/>
        <w:numPr>
          <w:ilvl w:val="1"/>
          <w:numId w:val="1"/>
        </w:numPr>
        <w:spacing w:before="100" w:beforeAutospacing="1" w:after="100" w:afterAutospacing="1"/>
      </w:pPr>
      <w:r>
        <w:t>Wiki for Agenda and Speakers</w:t>
      </w:r>
    </w:p>
    <w:p w:rsidR="002F7E76" w:rsidRDefault="002F7E76" w:rsidP="002F7E76">
      <w:pPr>
        <w:spacing w:before="100" w:beforeAutospacing="1" w:after="100" w:afterAutospacing="1"/>
        <w:rPr>
          <w:color w:val="1F497D"/>
        </w:rPr>
      </w:pPr>
      <w:r>
        <w:rPr>
          <w:color w:val="1F497D"/>
        </w:rPr>
        <w:t>From CIO Consortium after 2011 Summit:</w:t>
      </w:r>
    </w:p>
    <w:p w:rsidR="002F7E76" w:rsidRDefault="002F7E76" w:rsidP="002F7E76">
      <w:pPr>
        <w:spacing w:before="100" w:beforeAutospacing="1" w:after="100" w:afterAutospacing="1"/>
        <w:rPr>
          <w:color w:val="1F497D"/>
        </w:rPr>
      </w:pPr>
      <w:r>
        <w:rPr>
          <w:noProof/>
          <w:color w:val="1F497D"/>
        </w:rPr>
        <w:lastRenderedPageBreak/>
        <w:drawing>
          <wp:inline distT="0" distB="0" distL="0" distR="0">
            <wp:extent cx="3600450" cy="4457700"/>
            <wp:effectExtent l="19050" t="0" r="0" b="0"/>
            <wp:docPr id="1" name="Picture 1" descr="cid:OGZPEAMUZPD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OGZPEAMUZPDR.IMAGE.png"/>
                    <pic:cNvPicPr>
                      <a:picLocks noChangeAspect="1" noChangeArrowheads="1"/>
                    </pic:cNvPicPr>
                  </pic:nvPicPr>
                  <pic:blipFill>
                    <a:blip r:embed="rId5" r:link="rId6" cstate="print"/>
                    <a:srcRect/>
                    <a:stretch>
                      <a:fillRect/>
                    </a:stretch>
                  </pic:blipFill>
                  <pic:spPr bwMode="auto">
                    <a:xfrm>
                      <a:off x="0" y="0"/>
                      <a:ext cx="3600450" cy="4457700"/>
                    </a:xfrm>
                    <a:prstGeom prst="rect">
                      <a:avLst/>
                    </a:prstGeom>
                    <a:noFill/>
                    <a:ln w="9525">
                      <a:noFill/>
                      <a:miter lim="800000"/>
                      <a:headEnd/>
                      <a:tailEnd/>
                    </a:ln>
                  </pic:spPr>
                </pic:pic>
              </a:graphicData>
            </a:graphic>
          </wp:inline>
        </w:drawing>
      </w:r>
    </w:p>
    <w:p w:rsidR="002F7E76" w:rsidRDefault="002F7E76" w:rsidP="002F7E76"/>
    <w:p w:rsidR="00C35705" w:rsidRDefault="00C35705"/>
    <w:sectPr w:rsidR="00C35705"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06052"/>
    <w:multiLevelType w:val="hybridMultilevel"/>
    <w:tmpl w:val="C49655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C6232F4"/>
    <w:multiLevelType w:val="hybridMultilevel"/>
    <w:tmpl w:val="EB2EF9E8"/>
    <w:lvl w:ilvl="0" w:tplc="66541F58">
      <w:start w:val="1"/>
      <w:numFmt w:val="bullet"/>
      <w:lvlText w:val="-"/>
      <w:lvlJc w:val="left"/>
      <w:pPr>
        <w:ind w:left="216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9087656"/>
    <w:multiLevelType w:val="hybridMultilevel"/>
    <w:tmpl w:val="0B482A1C"/>
    <w:lvl w:ilvl="0" w:tplc="66184018">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F7E76"/>
    <w:rsid w:val="000A3A5F"/>
    <w:rsid w:val="001107BE"/>
    <w:rsid w:val="001236D0"/>
    <w:rsid w:val="00215EC3"/>
    <w:rsid w:val="002F7E76"/>
    <w:rsid w:val="00340495"/>
    <w:rsid w:val="00397E9D"/>
    <w:rsid w:val="003D4CB2"/>
    <w:rsid w:val="00410E87"/>
    <w:rsid w:val="00411D63"/>
    <w:rsid w:val="0046354D"/>
    <w:rsid w:val="0068443B"/>
    <w:rsid w:val="007C5D16"/>
    <w:rsid w:val="00824C7A"/>
    <w:rsid w:val="00857E3A"/>
    <w:rsid w:val="008D30A7"/>
    <w:rsid w:val="00A114E8"/>
    <w:rsid w:val="00A17958"/>
    <w:rsid w:val="00A55226"/>
    <w:rsid w:val="00B01150"/>
    <w:rsid w:val="00B8092D"/>
    <w:rsid w:val="00C35705"/>
    <w:rsid w:val="00C7433C"/>
    <w:rsid w:val="00D103A1"/>
    <w:rsid w:val="00D72F5B"/>
    <w:rsid w:val="00D76914"/>
    <w:rsid w:val="00DB3366"/>
    <w:rsid w:val="00DE377E"/>
    <w:rsid w:val="00DF4CF5"/>
    <w:rsid w:val="00E405FD"/>
    <w:rsid w:val="00F2517A"/>
    <w:rsid w:val="00F63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E76"/>
    <w:pPr>
      <w:spacing w:after="0" w:line="240" w:lineRule="auto"/>
    </w:pPr>
    <w:rPr>
      <w:rFonts w:ascii="Calibri" w:hAnsi="Calibri" w:cs="Calibri"/>
    </w:rPr>
  </w:style>
  <w:style w:type="paragraph" w:styleId="Heading2">
    <w:name w:val="heading 2"/>
    <w:basedOn w:val="Normal"/>
    <w:next w:val="Normal"/>
    <w:link w:val="Heading2Char"/>
    <w:uiPriority w:val="9"/>
    <w:unhideWhenUsed/>
    <w:qFormat/>
    <w:rsid w:val="002F7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7E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F7E76"/>
    <w:rPr>
      <w:rFonts w:ascii="Consolas" w:hAnsi="Consolas" w:cs="Consolas"/>
      <w:sz w:val="21"/>
      <w:szCs w:val="21"/>
    </w:rPr>
  </w:style>
  <w:style w:type="character" w:customStyle="1" w:styleId="PlainTextChar">
    <w:name w:val="Plain Text Char"/>
    <w:basedOn w:val="DefaultParagraphFont"/>
    <w:link w:val="PlainText"/>
    <w:uiPriority w:val="99"/>
    <w:semiHidden/>
    <w:rsid w:val="002F7E76"/>
    <w:rPr>
      <w:rFonts w:ascii="Consolas" w:hAnsi="Consolas" w:cs="Consolas"/>
      <w:sz w:val="21"/>
      <w:szCs w:val="21"/>
    </w:rPr>
  </w:style>
  <w:style w:type="paragraph" w:styleId="ListParagraph">
    <w:name w:val="List Paragraph"/>
    <w:basedOn w:val="Normal"/>
    <w:uiPriority w:val="34"/>
    <w:qFormat/>
    <w:rsid w:val="002F7E76"/>
    <w:pPr>
      <w:ind w:left="720"/>
    </w:pPr>
  </w:style>
  <w:style w:type="paragraph" w:styleId="BalloonText">
    <w:name w:val="Balloon Text"/>
    <w:basedOn w:val="Normal"/>
    <w:link w:val="BalloonTextChar"/>
    <w:uiPriority w:val="99"/>
    <w:semiHidden/>
    <w:unhideWhenUsed/>
    <w:rsid w:val="002F7E76"/>
    <w:rPr>
      <w:rFonts w:ascii="Tahoma" w:hAnsi="Tahoma" w:cs="Tahoma"/>
      <w:sz w:val="16"/>
      <w:szCs w:val="16"/>
    </w:rPr>
  </w:style>
  <w:style w:type="character" w:customStyle="1" w:styleId="BalloonTextChar">
    <w:name w:val="Balloon Text Char"/>
    <w:basedOn w:val="DefaultParagraphFont"/>
    <w:link w:val="BalloonText"/>
    <w:uiPriority w:val="99"/>
    <w:semiHidden/>
    <w:rsid w:val="002F7E76"/>
    <w:rPr>
      <w:rFonts w:ascii="Tahoma" w:hAnsi="Tahoma" w:cs="Tahoma"/>
      <w:sz w:val="16"/>
      <w:szCs w:val="16"/>
    </w:rPr>
  </w:style>
  <w:style w:type="character" w:customStyle="1" w:styleId="Heading2Char">
    <w:name w:val="Heading 2 Char"/>
    <w:basedOn w:val="DefaultParagraphFont"/>
    <w:link w:val="Heading2"/>
    <w:uiPriority w:val="9"/>
    <w:rsid w:val="002F7E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F7E76"/>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000814984">
      <w:bodyDiv w:val="1"/>
      <w:marLeft w:val="0"/>
      <w:marRight w:val="0"/>
      <w:marTop w:val="0"/>
      <w:marBottom w:val="0"/>
      <w:divBdr>
        <w:top w:val="none" w:sz="0" w:space="0" w:color="auto"/>
        <w:left w:val="none" w:sz="0" w:space="0" w:color="auto"/>
        <w:bottom w:val="none" w:sz="0" w:space="0" w:color="auto"/>
        <w:right w:val="none" w:sz="0" w:space="0" w:color="auto"/>
      </w:divBdr>
      <w:divsChild>
        <w:div w:id="882864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CCD6F2.E936476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752</Words>
  <Characters>4289</Characters>
  <Application>Microsoft Office Word</Application>
  <DocSecurity>0</DocSecurity>
  <Lines>35</Lines>
  <Paragraphs>10</Paragraphs>
  <ScaleCrop>false</ScaleCrop>
  <Company>AHIMA</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1</cp:revision>
  <dcterms:created xsi:type="dcterms:W3CDTF">2012-01-20T16:23:00Z</dcterms:created>
  <dcterms:modified xsi:type="dcterms:W3CDTF">2012-01-20T16:24:00Z</dcterms:modified>
</cp:coreProperties>
</file>